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768" w:rsidRDefault="00C25768" w:rsidP="00C25768">
      <w:r>
        <w:t>Schedule V-4</w:t>
      </w:r>
      <w:r w:rsidR="006B6154">
        <w:t xml:space="preserve"> (1)</w:t>
      </w:r>
      <w:r>
        <w:t xml:space="preserve"> Unaccounted for Water </w:t>
      </w:r>
      <w:r w:rsidR="006B6154">
        <w:t>- Narrative</w:t>
      </w:r>
    </w:p>
    <w:p w:rsidR="007F15E0" w:rsidRDefault="007F15E0" w:rsidP="007F15E0">
      <w:pPr>
        <w:spacing w:after="0" w:line="240" w:lineRule="auto"/>
      </w:pPr>
      <w:r>
        <w:t>Austin Water provides water services to a variety of retail and wholesale customers spanning over 540 square miles to a service population of over one million customers.  AW draws water from the Colorado River into three regional water treatment plants that have a combined maximum capacity of 335 million gallons per day. Drinking water is pumped from the plants into Austin’s water distribution system, which has a total reservoir storage capacity of approximately 170 million gallons.</w:t>
      </w:r>
    </w:p>
    <w:p w:rsidR="007F15E0" w:rsidRDefault="007F15E0" w:rsidP="007F15E0">
      <w:pPr>
        <w:spacing w:after="0" w:line="240" w:lineRule="auto"/>
      </w:pPr>
    </w:p>
    <w:p w:rsidR="007F15E0" w:rsidRDefault="007F15E0" w:rsidP="007F15E0">
      <w:pPr>
        <w:spacing w:after="0" w:line="240" w:lineRule="auto"/>
      </w:pPr>
      <w:r>
        <w:t xml:space="preserve">Austin Water performs a system water loss audit annually, using the Texas Water Development Board methodology. Non-revenue water is calculated, and quantified as real losses, apparent losses, and unbilled consumed water. Austin Water has comprehensive and aggressive programs to reduce non-revenue water, including active leak detection on both transmission and distribution mains, a meter replacement program and a meter accuracy study, the Renewing Austin initiative to replace and upgrade aging water lines, and multiple agreements to track unmetered water use for water withdrawn by City departments through hydrants. All customer connections supplied by Austin Water are metered. Water used for flushing and distribution system maintenance by Austin Water crews is calculated using flow durations, aperture size, and pressure, and is reported through the work order system. Water flushed by third parties for construction of new water mains is reported through meter reads required to close out construction permits. Theft is estimated according to TWDB methodology, and as a component of apparent losses is not used to reduce non-revenue water estimates. The Austin Water </w:t>
      </w:r>
      <w:proofErr w:type="spellStart"/>
      <w:r>
        <w:t>water</w:t>
      </w:r>
      <w:proofErr w:type="spellEnd"/>
      <w:r>
        <w:t xml:space="preserve"> loss audits from 2011-2017 have been reviewed for accuracy and validity by third party professionals under the AWWA Water Audit Data Initiative.</w:t>
      </w:r>
    </w:p>
    <w:p w:rsidR="007F15E0" w:rsidRDefault="007F15E0" w:rsidP="007F15E0">
      <w:pPr>
        <w:spacing w:after="0" w:line="240" w:lineRule="auto"/>
      </w:pPr>
    </w:p>
    <w:p w:rsidR="007F15E0" w:rsidRDefault="007F15E0" w:rsidP="007F15E0">
      <w:pPr>
        <w:spacing w:after="0" w:line="240" w:lineRule="auto"/>
      </w:pPr>
      <w:r>
        <w:t>Non-revenue water for 2015-2017 is listed in table 1. Water loss calculations for 2018 will be finalized by the May 1, 2019 TWDB reporting deadline.</w:t>
      </w:r>
    </w:p>
    <w:p w:rsidR="007F15E0" w:rsidRDefault="007F15E0" w:rsidP="007F15E0">
      <w:pPr>
        <w:spacing w:after="0" w:line="240" w:lineRule="auto"/>
      </w:pPr>
    </w:p>
    <w:p w:rsidR="007F15E0" w:rsidRDefault="007F15E0" w:rsidP="007F15E0">
      <w:pPr>
        <w:spacing w:after="0" w:line="240" w:lineRule="auto"/>
      </w:pPr>
      <w:r>
        <w:t>Table 1</w:t>
      </w:r>
    </w:p>
    <w:p w:rsidR="007F15E0" w:rsidRDefault="007F15E0" w:rsidP="007F15E0">
      <w:pPr>
        <w:spacing w:after="0" w:line="240" w:lineRule="auto"/>
      </w:pPr>
    </w:p>
    <w:tbl>
      <w:tblPr>
        <w:tblStyle w:val="TableGrid"/>
        <w:tblW w:w="0" w:type="auto"/>
        <w:tblLook w:val="04A0" w:firstRow="1" w:lastRow="0" w:firstColumn="1" w:lastColumn="0" w:noHBand="0" w:noVBand="1"/>
      </w:tblPr>
      <w:tblGrid>
        <w:gridCol w:w="1940"/>
        <w:gridCol w:w="1384"/>
        <w:gridCol w:w="2008"/>
        <w:gridCol w:w="2009"/>
        <w:gridCol w:w="2009"/>
      </w:tblGrid>
      <w:tr w:rsidR="007F15E0" w:rsidTr="005B3697">
        <w:tc>
          <w:tcPr>
            <w:tcW w:w="1940" w:type="dxa"/>
          </w:tcPr>
          <w:p w:rsidR="007F15E0" w:rsidRDefault="007F15E0" w:rsidP="005B3697">
            <w:r>
              <w:t>Year</w:t>
            </w:r>
          </w:p>
        </w:tc>
        <w:tc>
          <w:tcPr>
            <w:tcW w:w="1384" w:type="dxa"/>
          </w:tcPr>
          <w:p w:rsidR="007F15E0" w:rsidRDefault="007F15E0" w:rsidP="005B3697"/>
        </w:tc>
        <w:tc>
          <w:tcPr>
            <w:tcW w:w="2008" w:type="dxa"/>
          </w:tcPr>
          <w:p w:rsidR="007F15E0" w:rsidRDefault="007F15E0" w:rsidP="005B3697">
            <w:r>
              <w:t>2015</w:t>
            </w:r>
          </w:p>
        </w:tc>
        <w:tc>
          <w:tcPr>
            <w:tcW w:w="2009" w:type="dxa"/>
          </w:tcPr>
          <w:p w:rsidR="007F15E0" w:rsidRDefault="007F15E0" w:rsidP="005B3697">
            <w:r>
              <w:t>2016</w:t>
            </w:r>
          </w:p>
        </w:tc>
        <w:tc>
          <w:tcPr>
            <w:tcW w:w="2009" w:type="dxa"/>
          </w:tcPr>
          <w:p w:rsidR="007F15E0" w:rsidRDefault="007F15E0" w:rsidP="005B3697">
            <w:r>
              <w:t>2017</w:t>
            </w:r>
          </w:p>
        </w:tc>
      </w:tr>
      <w:tr w:rsidR="007F15E0" w:rsidTr="005B3697">
        <w:tc>
          <w:tcPr>
            <w:tcW w:w="1940" w:type="dxa"/>
          </w:tcPr>
          <w:p w:rsidR="007F15E0" w:rsidRDefault="007F15E0" w:rsidP="005B3697">
            <w:r>
              <w:t>Total gallons produced</w:t>
            </w:r>
          </w:p>
        </w:tc>
        <w:tc>
          <w:tcPr>
            <w:tcW w:w="1384" w:type="dxa"/>
          </w:tcPr>
          <w:p w:rsidR="007F15E0" w:rsidRDefault="007F15E0" w:rsidP="005B3697">
            <w:pPr>
              <w:jc w:val="right"/>
              <w:rPr>
                <w:rFonts w:ascii="Calibri" w:hAnsi="Calibri"/>
                <w:color w:val="000000"/>
              </w:rPr>
            </w:pPr>
          </w:p>
        </w:tc>
        <w:tc>
          <w:tcPr>
            <w:tcW w:w="2008" w:type="dxa"/>
          </w:tcPr>
          <w:p w:rsidR="007F15E0" w:rsidRPr="00432284" w:rsidRDefault="007F15E0" w:rsidP="005B3697">
            <w:pPr>
              <w:jc w:val="right"/>
              <w:rPr>
                <w:rFonts w:ascii="Calibri" w:hAnsi="Calibri"/>
                <w:color w:val="000000"/>
              </w:rPr>
            </w:pPr>
            <w:r>
              <w:rPr>
                <w:rFonts w:ascii="Calibri" w:hAnsi="Calibri"/>
                <w:color w:val="000000"/>
              </w:rPr>
              <w:t>42,191,680,040</w:t>
            </w:r>
          </w:p>
        </w:tc>
        <w:tc>
          <w:tcPr>
            <w:tcW w:w="2009" w:type="dxa"/>
          </w:tcPr>
          <w:p w:rsidR="007F15E0" w:rsidRPr="00432284" w:rsidRDefault="007F15E0" w:rsidP="005B3697">
            <w:pPr>
              <w:jc w:val="right"/>
              <w:rPr>
                <w:rFonts w:ascii="Calibri" w:hAnsi="Calibri"/>
                <w:color w:val="000000"/>
              </w:rPr>
            </w:pPr>
            <w:r>
              <w:rPr>
                <w:rFonts w:ascii="Calibri" w:hAnsi="Calibri"/>
                <w:color w:val="000000"/>
              </w:rPr>
              <w:t>43,120,955,690</w:t>
            </w:r>
          </w:p>
        </w:tc>
        <w:tc>
          <w:tcPr>
            <w:tcW w:w="2009" w:type="dxa"/>
          </w:tcPr>
          <w:p w:rsidR="007F15E0" w:rsidRPr="00432284" w:rsidRDefault="007F15E0" w:rsidP="005B3697">
            <w:pPr>
              <w:jc w:val="right"/>
              <w:rPr>
                <w:rFonts w:ascii="Calibri" w:hAnsi="Calibri"/>
                <w:color w:val="000000"/>
              </w:rPr>
            </w:pPr>
            <w:r>
              <w:rPr>
                <w:rFonts w:ascii="Calibri" w:hAnsi="Calibri"/>
                <w:color w:val="000000"/>
              </w:rPr>
              <w:t>45,525,408,861</w:t>
            </w:r>
          </w:p>
        </w:tc>
      </w:tr>
      <w:tr w:rsidR="007F15E0" w:rsidTr="005B3697">
        <w:tc>
          <w:tcPr>
            <w:tcW w:w="1940" w:type="dxa"/>
          </w:tcPr>
          <w:p w:rsidR="007F15E0" w:rsidRDefault="007F15E0" w:rsidP="005B3697">
            <w:r>
              <w:t>Total authorized consumption</w:t>
            </w:r>
          </w:p>
        </w:tc>
        <w:tc>
          <w:tcPr>
            <w:tcW w:w="1384" w:type="dxa"/>
          </w:tcPr>
          <w:p w:rsidR="007F15E0" w:rsidRDefault="007F15E0" w:rsidP="005B3697">
            <w:pPr>
              <w:jc w:val="right"/>
              <w:rPr>
                <w:rFonts w:ascii="Calibri" w:hAnsi="Calibri"/>
                <w:color w:val="000000"/>
              </w:rPr>
            </w:pPr>
          </w:p>
        </w:tc>
        <w:tc>
          <w:tcPr>
            <w:tcW w:w="2008" w:type="dxa"/>
          </w:tcPr>
          <w:p w:rsidR="007F15E0" w:rsidRPr="00432284" w:rsidRDefault="007F15E0" w:rsidP="005B3697">
            <w:pPr>
              <w:jc w:val="right"/>
              <w:rPr>
                <w:rFonts w:ascii="Calibri" w:hAnsi="Calibri"/>
                <w:color w:val="000000"/>
              </w:rPr>
            </w:pPr>
            <w:r>
              <w:rPr>
                <w:rFonts w:ascii="Calibri" w:hAnsi="Calibri"/>
                <w:color w:val="000000"/>
              </w:rPr>
              <w:t>35,478,755,849</w:t>
            </w:r>
          </w:p>
        </w:tc>
        <w:tc>
          <w:tcPr>
            <w:tcW w:w="2009" w:type="dxa"/>
          </w:tcPr>
          <w:p w:rsidR="007F15E0" w:rsidRPr="00432284" w:rsidRDefault="007F15E0" w:rsidP="005B3697">
            <w:pPr>
              <w:jc w:val="right"/>
              <w:rPr>
                <w:rFonts w:ascii="Calibri" w:hAnsi="Calibri"/>
                <w:color w:val="000000"/>
              </w:rPr>
            </w:pPr>
            <w:r>
              <w:rPr>
                <w:rFonts w:ascii="Calibri" w:hAnsi="Calibri"/>
                <w:color w:val="000000"/>
              </w:rPr>
              <w:t>37,147,534,153</w:t>
            </w:r>
          </w:p>
        </w:tc>
        <w:tc>
          <w:tcPr>
            <w:tcW w:w="2009" w:type="dxa"/>
          </w:tcPr>
          <w:p w:rsidR="007F15E0" w:rsidRPr="00432284" w:rsidRDefault="007F15E0" w:rsidP="005B3697">
            <w:pPr>
              <w:jc w:val="right"/>
              <w:rPr>
                <w:rFonts w:ascii="Calibri" w:hAnsi="Calibri"/>
                <w:color w:val="000000"/>
              </w:rPr>
            </w:pPr>
            <w:r>
              <w:rPr>
                <w:rFonts w:ascii="Calibri" w:hAnsi="Calibri"/>
                <w:color w:val="000000"/>
              </w:rPr>
              <w:t>38,061,499,414</w:t>
            </w:r>
          </w:p>
        </w:tc>
      </w:tr>
      <w:tr w:rsidR="007F15E0" w:rsidTr="005B3697">
        <w:tc>
          <w:tcPr>
            <w:tcW w:w="1940" w:type="dxa"/>
          </w:tcPr>
          <w:p w:rsidR="007F15E0" w:rsidRDefault="007F15E0" w:rsidP="005B3697">
            <w:r>
              <w:t>Total Water Loss</w:t>
            </w:r>
          </w:p>
        </w:tc>
        <w:tc>
          <w:tcPr>
            <w:tcW w:w="1384" w:type="dxa"/>
          </w:tcPr>
          <w:p w:rsidR="007F15E0" w:rsidRDefault="007F15E0" w:rsidP="005B3697">
            <w:pPr>
              <w:jc w:val="right"/>
              <w:rPr>
                <w:rFonts w:ascii="Calibri" w:hAnsi="Calibri"/>
                <w:color w:val="000000"/>
              </w:rPr>
            </w:pPr>
          </w:p>
        </w:tc>
        <w:tc>
          <w:tcPr>
            <w:tcW w:w="2008" w:type="dxa"/>
          </w:tcPr>
          <w:p w:rsidR="007F15E0" w:rsidRPr="00432284" w:rsidRDefault="007F15E0" w:rsidP="005B3697">
            <w:pPr>
              <w:jc w:val="right"/>
              <w:rPr>
                <w:rFonts w:ascii="Calibri" w:hAnsi="Calibri"/>
                <w:color w:val="000000"/>
              </w:rPr>
            </w:pPr>
            <w:r>
              <w:rPr>
                <w:rFonts w:ascii="Calibri" w:hAnsi="Calibri"/>
                <w:color w:val="000000"/>
              </w:rPr>
              <w:t>6,712,924,191</w:t>
            </w:r>
          </w:p>
        </w:tc>
        <w:tc>
          <w:tcPr>
            <w:tcW w:w="2009" w:type="dxa"/>
          </w:tcPr>
          <w:p w:rsidR="007F15E0" w:rsidRPr="00432284" w:rsidRDefault="007F15E0" w:rsidP="005B3697">
            <w:pPr>
              <w:jc w:val="right"/>
              <w:rPr>
                <w:rFonts w:ascii="Calibri" w:hAnsi="Calibri"/>
                <w:color w:val="000000"/>
              </w:rPr>
            </w:pPr>
            <w:r>
              <w:rPr>
                <w:rFonts w:ascii="Calibri" w:hAnsi="Calibri"/>
                <w:color w:val="000000"/>
              </w:rPr>
              <w:t>5,973,421,537</w:t>
            </w:r>
          </w:p>
        </w:tc>
        <w:tc>
          <w:tcPr>
            <w:tcW w:w="2009" w:type="dxa"/>
          </w:tcPr>
          <w:p w:rsidR="007F15E0" w:rsidRPr="00432284" w:rsidRDefault="007F15E0" w:rsidP="005B3697">
            <w:pPr>
              <w:jc w:val="right"/>
              <w:rPr>
                <w:rFonts w:ascii="Calibri" w:hAnsi="Calibri"/>
                <w:color w:val="000000"/>
              </w:rPr>
            </w:pPr>
            <w:r>
              <w:rPr>
                <w:rFonts w:ascii="Calibri" w:hAnsi="Calibri"/>
                <w:color w:val="000000"/>
              </w:rPr>
              <w:t>7,463,909,447</w:t>
            </w:r>
          </w:p>
        </w:tc>
      </w:tr>
      <w:tr w:rsidR="007F15E0" w:rsidTr="005B3697">
        <w:tc>
          <w:tcPr>
            <w:tcW w:w="1940" w:type="dxa"/>
          </w:tcPr>
          <w:p w:rsidR="007F15E0" w:rsidRDefault="007F15E0" w:rsidP="005B3697">
            <w:r>
              <w:t>Infrastructure Leakage Index</w:t>
            </w:r>
          </w:p>
        </w:tc>
        <w:tc>
          <w:tcPr>
            <w:tcW w:w="1384" w:type="dxa"/>
          </w:tcPr>
          <w:p w:rsidR="007F15E0" w:rsidRDefault="007F15E0" w:rsidP="005B3697">
            <w:pPr>
              <w:jc w:val="center"/>
            </w:pPr>
          </w:p>
        </w:tc>
        <w:tc>
          <w:tcPr>
            <w:tcW w:w="2008" w:type="dxa"/>
          </w:tcPr>
          <w:p w:rsidR="007F15E0" w:rsidRDefault="007F15E0" w:rsidP="005B3697">
            <w:pPr>
              <w:jc w:val="center"/>
            </w:pPr>
            <w:r>
              <w:t>3.88</w:t>
            </w:r>
          </w:p>
        </w:tc>
        <w:tc>
          <w:tcPr>
            <w:tcW w:w="2009" w:type="dxa"/>
          </w:tcPr>
          <w:p w:rsidR="007F15E0" w:rsidRDefault="007F15E0" w:rsidP="005B3697">
            <w:pPr>
              <w:jc w:val="center"/>
            </w:pPr>
            <w:r>
              <w:t>3.31</w:t>
            </w:r>
          </w:p>
        </w:tc>
        <w:tc>
          <w:tcPr>
            <w:tcW w:w="2009" w:type="dxa"/>
          </w:tcPr>
          <w:p w:rsidR="007F15E0" w:rsidRDefault="007F15E0" w:rsidP="005B3697">
            <w:pPr>
              <w:jc w:val="center"/>
            </w:pPr>
            <w:r>
              <w:t>4.21</w:t>
            </w:r>
          </w:p>
        </w:tc>
      </w:tr>
      <w:tr w:rsidR="007F15E0" w:rsidTr="005B3697">
        <w:tc>
          <w:tcPr>
            <w:tcW w:w="1940" w:type="dxa"/>
          </w:tcPr>
          <w:p w:rsidR="007F15E0" w:rsidRDefault="007F15E0" w:rsidP="005B3697">
            <w:r>
              <w:t>Percentage Loss*</w:t>
            </w:r>
          </w:p>
        </w:tc>
        <w:tc>
          <w:tcPr>
            <w:tcW w:w="1384" w:type="dxa"/>
          </w:tcPr>
          <w:p w:rsidR="007F15E0" w:rsidRDefault="007F15E0" w:rsidP="005B3697">
            <w:pPr>
              <w:jc w:val="center"/>
            </w:pPr>
          </w:p>
        </w:tc>
        <w:tc>
          <w:tcPr>
            <w:tcW w:w="2008" w:type="dxa"/>
          </w:tcPr>
          <w:p w:rsidR="007F15E0" w:rsidRDefault="007F15E0" w:rsidP="005B3697">
            <w:pPr>
              <w:jc w:val="center"/>
            </w:pPr>
            <w:r>
              <w:t>15.91%</w:t>
            </w:r>
          </w:p>
        </w:tc>
        <w:tc>
          <w:tcPr>
            <w:tcW w:w="2009" w:type="dxa"/>
          </w:tcPr>
          <w:p w:rsidR="007F15E0" w:rsidRDefault="007F15E0" w:rsidP="005B3697">
            <w:pPr>
              <w:jc w:val="center"/>
            </w:pPr>
            <w:r>
              <w:t>13.85%</w:t>
            </w:r>
          </w:p>
        </w:tc>
        <w:tc>
          <w:tcPr>
            <w:tcW w:w="2009" w:type="dxa"/>
          </w:tcPr>
          <w:p w:rsidR="007F15E0" w:rsidRDefault="007F15E0" w:rsidP="005B3697">
            <w:pPr>
              <w:jc w:val="center"/>
            </w:pPr>
            <w:r>
              <w:t>16.40%</w:t>
            </w:r>
          </w:p>
        </w:tc>
      </w:tr>
    </w:tbl>
    <w:p w:rsidR="007F15E0" w:rsidRDefault="007F15E0" w:rsidP="007F15E0">
      <w:pPr>
        <w:spacing w:after="0" w:line="240" w:lineRule="auto"/>
      </w:pPr>
      <w:r w:rsidRPr="00A505F8">
        <w:t>*Austin Water has chosen to provide the ILI in addition to percentage losses. Percentage losses is a poor performance measurement, as it is driven by total consumption more than losses, and therefore can provide trends that are misleading when considering water loss.</w:t>
      </w:r>
      <w:r>
        <w:t xml:space="preserve"> The Infrastructure Leakage Index is calculated according to TWDB methodology and accounts for length of mains, number of connections, and system operating pressure and is considered a superior performance measure by the AWWA M36 Water Loss Control manual.</w:t>
      </w:r>
    </w:p>
    <w:p w:rsidR="007F15E0" w:rsidRDefault="007F15E0" w:rsidP="007F15E0">
      <w:pPr>
        <w:spacing w:after="0" w:line="240" w:lineRule="auto"/>
      </w:pPr>
    </w:p>
    <w:p w:rsidR="007F15E0" w:rsidRDefault="007F15E0" w:rsidP="007F15E0">
      <w:pPr>
        <w:spacing w:after="0" w:line="240" w:lineRule="auto"/>
      </w:pPr>
      <w:r>
        <w:t>The annual water loss report and water loss audit submissions to the TWDB are prepared by a Project Manager II at Austin Water. The Project Manager II is primarily responsible for collecting data for the audit, ensuring that all uses of water are properly and accurately tracked, performing data validity reviews, and compiling the water loss audit according to TWDB standards.</w:t>
      </w:r>
    </w:p>
    <w:p w:rsidR="00272E13" w:rsidRDefault="00272E13" w:rsidP="00C25768">
      <w:pPr>
        <w:spacing w:after="0" w:line="240" w:lineRule="auto"/>
      </w:pPr>
      <w:bookmarkStart w:id="0" w:name="_GoBack"/>
      <w:bookmarkEnd w:id="0"/>
      <w:r>
        <w:lastRenderedPageBreak/>
        <w:t>References:</w:t>
      </w:r>
    </w:p>
    <w:p w:rsidR="00D201B6" w:rsidRDefault="007F15E0" w:rsidP="00C25768">
      <w:pPr>
        <w:spacing w:after="0" w:line="240" w:lineRule="auto"/>
      </w:pPr>
      <w:hyperlink r:id="rId4" w:history="1">
        <w:r w:rsidR="00D201B6" w:rsidRPr="00CF66E1">
          <w:rPr>
            <w:rStyle w:val="Hyperlink"/>
          </w:rPr>
          <w:t>http://www.austintexas.gov/department/renewing-austin</w:t>
        </w:r>
      </w:hyperlink>
    </w:p>
    <w:p w:rsidR="00D201B6" w:rsidRDefault="00D201B6" w:rsidP="00C25768">
      <w:pPr>
        <w:spacing w:after="0" w:line="240" w:lineRule="auto"/>
      </w:pPr>
    </w:p>
    <w:sectPr w:rsidR="00D201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768"/>
    <w:rsid w:val="000E5E5C"/>
    <w:rsid w:val="001C53A3"/>
    <w:rsid w:val="00272E13"/>
    <w:rsid w:val="00333055"/>
    <w:rsid w:val="003C4513"/>
    <w:rsid w:val="004D0B3D"/>
    <w:rsid w:val="006B6154"/>
    <w:rsid w:val="007F15E0"/>
    <w:rsid w:val="007F2A28"/>
    <w:rsid w:val="008671E6"/>
    <w:rsid w:val="00C25768"/>
    <w:rsid w:val="00D201B6"/>
    <w:rsid w:val="00F33F6B"/>
    <w:rsid w:val="00FA6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3A92A6-0477-478F-A487-BFC1B114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1B6"/>
    <w:rPr>
      <w:color w:val="0563C1" w:themeColor="hyperlink"/>
      <w:u w:val="single"/>
    </w:rPr>
  </w:style>
  <w:style w:type="table" w:styleId="TableGrid">
    <w:name w:val="Table Grid"/>
    <w:basedOn w:val="TableNormal"/>
    <w:uiPriority w:val="39"/>
    <w:rsid w:val="007F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ustintexas.gov/department/renewing-aust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Bedinghaus, Ron</dc:creator>
  <cp:keywords/>
  <dc:description/>
  <cp:lastModifiedBy>Bedinghaus, Ron</cp:lastModifiedBy>
  <cp:revision>9</cp:revision>
  <dcterms:created xsi:type="dcterms:W3CDTF">2019-02-06T18:14:00Z</dcterms:created>
  <dcterms:modified xsi:type="dcterms:W3CDTF">2019-02-11T16:40:00Z</dcterms:modified>
</cp:coreProperties>
</file>